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87A03" w14:textId="2A9C904C" w:rsidR="00E253CE" w:rsidRDefault="00E253CE" w:rsidP="00195B56">
      <w:pPr>
        <w:widowControl w:val="0"/>
        <w:numPr>
          <w:ilvl w:val="0"/>
          <w:numId w:val="1"/>
        </w:numPr>
        <w:spacing w:before="240"/>
        <w:ind w:left="357" w:hanging="357"/>
        <w:jc w:val="both"/>
        <w:rPr>
          <w:rFonts w:ascii="Arial" w:hAnsi="Arial" w:cs="Arial"/>
          <w:bCs/>
          <w:spacing w:val="-3"/>
          <w:sz w:val="22"/>
          <w:szCs w:val="22"/>
        </w:rPr>
      </w:pPr>
      <w:bookmarkStart w:id="0" w:name="_GoBack"/>
      <w:bookmarkEnd w:id="0"/>
      <w:r w:rsidRPr="00E253CE">
        <w:rPr>
          <w:rFonts w:ascii="Arial" w:hAnsi="Arial" w:cs="Arial"/>
          <w:bCs/>
          <w:spacing w:val="-3"/>
          <w:sz w:val="22"/>
          <w:szCs w:val="22"/>
        </w:rPr>
        <w:t>The objective of the Bill is to provide for increased operational efficiency of legislation under the administration of the Minister for State Development, Manufacturing, Infrastructure and Planning.  The Bill proposes to</w:t>
      </w:r>
      <w:r w:rsidR="008B7D0F">
        <w:rPr>
          <w:rFonts w:ascii="Arial" w:hAnsi="Arial" w:cs="Arial"/>
          <w:bCs/>
          <w:spacing w:val="-3"/>
          <w:sz w:val="22"/>
          <w:szCs w:val="22"/>
        </w:rPr>
        <w:t xml:space="preserve"> amend the</w:t>
      </w:r>
      <w:r w:rsidR="00383437">
        <w:rPr>
          <w:rFonts w:ascii="Arial" w:hAnsi="Arial" w:cs="Arial"/>
          <w:bCs/>
          <w:spacing w:val="-3"/>
          <w:sz w:val="22"/>
          <w:szCs w:val="22"/>
        </w:rPr>
        <w:t xml:space="preserve"> following Acts</w:t>
      </w:r>
      <w:r w:rsidRPr="00C653FC">
        <w:rPr>
          <w:rFonts w:ascii="Arial" w:hAnsi="Arial" w:cs="Arial"/>
          <w:bCs/>
          <w:spacing w:val="-3"/>
          <w:sz w:val="22"/>
          <w:szCs w:val="22"/>
        </w:rPr>
        <w:t>:</w:t>
      </w:r>
    </w:p>
    <w:p w14:paraId="264DAEBE" w14:textId="77777777" w:rsidR="00C1436A" w:rsidRDefault="00C1436A" w:rsidP="007A1C8E">
      <w:pPr>
        <w:widowControl w:val="0"/>
        <w:numPr>
          <w:ilvl w:val="0"/>
          <w:numId w:val="7"/>
        </w:numPr>
        <w:tabs>
          <w:tab w:val="clear" w:pos="730"/>
        </w:tabs>
        <w:spacing w:before="120"/>
        <w:ind w:left="714" w:hanging="357"/>
        <w:jc w:val="both"/>
        <w:rPr>
          <w:rFonts w:ascii="Arial" w:hAnsi="Arial" w:cs="Arial"/>
          <w:bCs/>
          <w:spacing w:val="-3"/>
          <w:sz w:val="22"/>
          <w:szCs w:val="22"/>
        </w:rPr>
      </w:pPr>
      <w:r w:rsidRPr="00C1436A">
        <w:rPr>
          <w:rFonts w:ascii="Arial" w:hAnsi="Arial" w:cs="Arial"/>
          <w:bCs/>
          <w:i/>
          <w:spacing w:val="-3"/>
          <w:sz w:val="22"/>
          <w:szCs w:val="22"/>
        </w:rPr>
        <w:t>Building Queensland Act 2015</w:t>
      </w:r>
      <w:r>
        <w:rPr>
          <w:rFonts w:ascii="Arial" w:hAnsi="Arial" w:cs="Arial"/>
          <w:bCs/>
          <w:spacing w:val="-3"/>
          <w:sz w:val="22"/>
          <w:szCs w:val="22"/>
        </w:rPr>
        <w:t xml:space="preserve"> </w:t>
      </w:r>
      <w:r w:rsidR="008B7D0F">
        <w:rPr>
          <w:rFonts w:ascii="Arial" w:hAnsi="Arial" w:cs="Arial"/>
          <w:bCs/>
          <w:spacing w:val="-3"/>
          <w:sz w:val="22"/>
          <w:szCs w:val="22"/>
        </w:rPr>
        <w:t xml:space="preserve">to </w:t>
      </w:r>
      <w:r w:rsidR="008B7D0F">
        <w:rPr>
          <w:rFonts w:ascii="Arial" w:hAnsi="Arial" w:cs="Arial"/>
          <w:sz w:val="22"/>
        </w:rPr>
        <w:t xml:space="preserve">implement the Queensland Government’s response to three recommendations of the report </w:t>
      </w:r>
      <w:r w:rsidR="008B7D0F" w:rsidRPr="00687618">
        <w:rPr>
          <w:rFonts w:ascii="Arial" w:hAnsi="Arial" w:cs="Arial"/>
          <w:i/>
          <w:sz w:val="22"/>
        </w:rPr>
        <w:t>An Administrative Review of Building Queensland’s Operating Arrangements</w:t>
      </w:r>
      <w:r w:rsidR="008B7D0F">
        <w:rPr>
          <w:rFonts w:ascii="Arial" w:hAnsi="Arial" w:cs="Arial"/>
          <w:sz w:val="22"/>
        </w:rPr>
        <w:t>.  These amendments adjust the threshold for which business cases are led by Building Queensland, reduce the frequency of publication of the Infrastructure Pipeline Report and allow proxies for government Board members for any length of time;</w:t>
      </w:r>
    </w:p>
    <w:p w14:paraId="0D3566D9" w14:textId="031E15A8" w:rsidR="008B7D0F" w:rsidRDefault="00E253CE" w:rsidP="007A1C8E">
      <w:pPr>
        <w:widowControl w:val="0"/>
        <w:numPr>
          <w:ilvl w:val="0"/>
          <w:numId w:val="7"/>
        </w:numPr>
        <w:tabs>
          <w:tab w:val="clear" w:pos="730"/>
        </w:tabs>
        <w:spacing w:before="120"/>
        <w:ind w:left="714" w:hanging="357"/>
        <w:jc w:val="both"/>
        <w:rPr>
          <w:rFonts w:ascii="Arial" w:hAnsi="Arial" w:cs="Arial"/>
          <w:sz w:val="22"/>
        </w:rPr>
      </w:pPr>
      <w:r w:rsidRPr="00E253CE">
        <w:rPr>
          <w:rFonts w:ascii="Arial" w:hAnsi="Arial" w:cs="Arial"/>
          <w:bCs/>
          <w:i/>
          <w:spacing w:val="-3"/>
          <w:sz w:val="22"/>
          <w:szCs w:val="22"/>
        </w:rPr>
        <w:t>Economic Development Act 2012</w:t>
      </w:r>
      <w:r w:rsidRPr="00E253CE">
        <w:rPr>
          <w:rFonts w:ascii="Arial" w:hAnsi="Arial" w:cs="Arial"/>
          <w:bCs/>
          <w:spacing w:val="-3"/>
          <w:sz w:val="22"/>
          <w:szCs w:val="22"/>
        </w:rPr>
        <w:t xml:space="preserve"> (ED Act) and </w:t>
      </w:r>
      <w:r w:rsidR="008B7D0F">
        <w:rPr>
          <w:rFonts w:ascii="Arial" w:hAnsi="Arial" w:cs="Arial"/>
          <w:bCs/>
          <w:spacing w:val="-3"/>
          <w:sz w:val="22"/>
          <w:szCs w:val="22"/>
        </w:rPr>
        <w:t xml:space="preserve">related Acts to </w:t>
      </w:r>
      <w:r w:rsidR="008B7D0F" w:rsidRPr="007F315F">
        <w:rPr>
          <w:rFonts w:ascii="Arial" w:hAnsi="Arial" w:cs="Arial"/>
          <w:sz w:val="22"/>
        </w:rPr>
        <w:t xml:space="preserve">improve the operation of the ED Act through better alignment between the ED Act and </w:t>
      </w:r>
      <w:r w:rsidR="008B7D0F" w:rsidRPr="00C653FC">
        <w:rPr>
          <w:rFonts w:ascii="Arial" w:hAnsi="Arial" w:cs="Arial"/>
          <w:i/>
          <w:sz w:val="22"/>
        </w:rPr>
        <w:t>Planning Act</w:t>
      </w:r>
      <w:r w:rsidR="00EC751B" w:rsidRPr="00C653FC">
        <w:rPr>
          <w:rFonts w:ascii="Arial" w:hAnsi="Arial" w:cs="Arial"/>
          <w:i/>
          <w:sz w:val="22"/>
        </w:rPr>
        <w:t xml:space="preserve"> 2016</w:t>
      </w:r>
      <w:r w:rsidR="008B7D0F" w:rsidRPr="007F315F">
        <w:rPr>
          <w:rFonts w:ascii="Arial" w:hAnsi="Arial" w:cs="Arial"/>
          <w:sz w:val="22"/>
        </w:rPr>
        <w:t>, more flexibility in the declaration of priority development areas (PDAs) and provisional PDAs and their associated instruments, and through more efficient</w:t>
      </w:r>
      <w:r w:rsidR="008B7D0F">
        <w:rPr>
          <w:rFonts w:ascii="Arial" w:hAnsi="Arial" w:cs="Arial"/>
          <w:sz w:val="22"/>
        </w:rPr>
        <w:t xml:space="preserve"> development assessment in PDAs;</w:t>
      </w:r>
    </w:p>
    <w:p w14:paraId="54B752AC" w14:textId="25032C68" w:rsidR="008B7D0F" w:rsidRDefault="00383437" w:rsidP="007A1C8E">
      <w:pPr>
        <w:widowControl w:val="0"/>
        <w:numPr>
          <w:ilvl w:val="0"/>
          <w:numId w:val="7"/>
        </w:numPr>
        <w:tabs>
          <w:tab w:val="clear" w:pos="730"/>
        </w:tabs>
        <w:spacing w:before="120"/>
        <w:ind w:left="714" w:hanging="357"/>
        <w:jc w:val="both"/>
        <w:rPr>
          <w:rFonts w:ascii="Arial" w:hAnsi="Arial" w:cs="Arial"/>
          <w:sz w:val="22"/>
        </w:rPr>
      </w:pPr>
      <w:r w:rsidRPr="00C653FC">
        <w:rPr>
          <w:rFonts w:ascii="Arial" w:hAnsi="Arial" w:cs="Arial"/>
          <w:i/>
          <w:sz w:val="22"/>
        </w:rPr>
        <w:t>Planning Act 2016</w:t>
      </w:r>
      <w:r w:rsidR="008B7D0F">
        <w:rPr>
          <w:rFonts w:ascii="Arial" w:hAnsi="Arial" w:cs="Arial"/>
          <w:bCs/>
          <w:spacing w:val="-3"/>
          <w:sz w:val="22"/>
          <w:szCs w:val="22"/>
        </w:rPr>
        <w:t xml:space="preserve"> to </w:t>
      </w:r>
      <w:r w:rsidR="008B7D0F" w:rsidRPr="0018150C">
        <w:rPr>
          <w:rFonts w:ascii="Arial" w:hAnsi="Arial" w:cs="Arial"/>
          <w:sz w:val="22"/>
        </w:rPr>
        <w:t>respond to a range of operational matters relating to infrastructure charges notices, submitter appeals and electronic service.  Other minor amendments to the Planning Act are proposed to clarify the policy intent of certain provisions and ensure the effective operation of</w:t>
      </w:r>
      <w:r w:rsidR="008B7D0F">
        <w:rPr>
          <w:rFonts w:ascii="Arial" w:hAnsi="Arial" w:cs="Arial"/>
          <w:sz w:val="22"/>
        </w:rPr>
        <w:t xml:space="preserve"> certain transitional arrangements; </w:t>
      </w:r>
    </w:p>
    <w:p w14:paraId="17EB6109" w14:textId="77777777" w:rsidR="00E253CE" w:rsidRDefault="00E253CE" w:rsidP="007A1C8E">
      <w:pPr>
        <w:widowControl w:val="0"/>
        <w:numPr>
          <w:ilvl w:val="0"/>
          <w:numId w:val="7"/>
        </w:numPr>
        <w:tabs>
          <w:tab w:val="clear" w:pos="730"/>
        </w:tabs>
        <w:spacing w:before="120"/>
        <w:ind w:left="714" w:hanging="357"/>
        <w:jc w:val="both"/>
        <w:rPr>
          <w:rFonts w:ascii="Arial" w:hAnsi="Arial" w:cs="Arial"/>
          <w:bCs/>
          <w:spacing w:val="-3"/>
          <w:sz w:val="22"/>
          <w:szCs w:val="22"/>
        </w:rPr>
      </w:pPr>
      <w:r w:rsidRPr="00C653FC">
        <w:rPr>
          <w:rFonts w:ascii="Arial" w:hAnsi="Arial" w:cs="Arial"/>
          <w:bCs/>
          <w:i/>
          <w:spacing w:val="-3"/>
          <w:sz w:val="22"/>
          <w:szCs w:val="22"/>
        </w:rPr>
        <w:t>Planning and Environment Court Act 2016</w:t>
      </w:r>
      <w:r w:rsidR="008B7D0F" w:rsidRPr="00C653FC">
        <w:rPr>
          <w:rFonts w:ascii="Arial" w:hAnsi="Arial" w:cs="Arial"/>
          <w:bCs/>
          <w:spacing w:val="-3"/>
          <w:sz w:val="22"/>
          <w:szCs w:val="22"/>
        </w:rPr>
        <w:t xml:space="preserve">, </w:t>
      </w:r>
      <w:r w:rsidRPr="00C653FC">
        <w:rPr>
          <w:rFonts w:ascii="Arial" w:hAnsi="Arial" w:cs="Arial"/>
          <w:bCs/>
          <w:i/>
          <w:spacing w:val="-3"/>
          <w:sz w:val="22"/>
          <w:szCs w:val="22"/>
        </w:rPr>
        <w:t>Sanctuary Cove Resort Act 1985</w:t>
      </w:r>
      <w:r w:rsidRPr="00C653FC">
        <w:rPr>
          <w:rFonts w:ascii="Arial" w:hAnsi="Arial" w:cs="Arial"/>
          <w:bCs/>
          <w:spacing w:val="-3"/>
          <w:sz w:val="22"/>
          <w:szCs w:val="22"/>
        </w:rPr>
        <w:t xml:space="preserve"> </w:t>
      </w:r>
      <w:r w:rsidR="008B7D0F" w:rsidRPr="00C653FC">
        <w:rPr>
          <w:rFonts w:ascii="Arial" w:hAnsi="Arial" w:cs="Arial"/>
          <w:bCs/>
          <w:spacing w:val="-3"/>
          <w:sz w:val="22"/>
          <w:szCs w:val="22"/>
        </w:rPr>
        <w:t xml:space="preserve">and </w:t>
      </w:r>
      <w:r w:rsidRPr="00C653FC">
        <w:rPr>
          <w:rFonts w:ascii="Arial" w:hAnsi="Arial" w:cs="Arial"/>
          <w:bCs/>
          <w:i/>
          <w:spacing w:val="-3"/>
          <w:sz w:val="22"/>
          <w:szCs w:val="22"/>
        </w:rPr>
        <w:t>South Bank Corporation Act 1989</w:t>
      </w:r>
      <w:r w:rsidR="008B7D0F" w:rsidRPr="00C653FC">
        <w:rPr>
          <w:rFonts w:ascii="Arial" w:hAnsi="Arial" w:cs="Arial"/>
          <w:bCs/>
          <w:spacing w:val="-3"/>
          <w:sz w:val="22"/>
          <w:szCs w:val="22"/>
        </w:rPr>
        <w:t xml:space="preserve">.  The Bill also </w:t>
      </w:r>
      <w:r w:rsidRPr="00C653FC">
        <w:rPr>
          <w:rFonts w:ascii="Arial" w:hAnsi="Arial" w:cs="Arial"/>
          <w:bCs/>
          <w:spacing w:val="-3"/>
          <w:sz w:val="22"/>
          <w:szCs w:val="22"/>
        </w:rPr>
        <w:t>repeal</w:t>
      </w:r>
      <w:r w:rsidR="008B7D0F">
        <w:rPr>
          <w:rFonts w:ascii="Arial" w:hAnsi="Arial" w:cs="Arial"/>
          <w:bCs/>
          <w:spacing w:val="-3"/>
          <w:sz w:val="22"/>
          <w:szCs w:val="22"/>
        </w:rPr>
        <w:t>s</w:t>
      </w:r>
      <w:r w:rsidRPr="00C653FC">
        <w:rPr>
          <w:rFonts w:ascii="Arial" w:hAnsi="Arial" w:cs="Arial"/>
          <w:bCs/>
          <w:spacing w:val="-3"/>
          <w:sz w:val="22"/>
          <w:szCs w:val="22"/>
        </w:rPr>
        <w:t xml:space="preserve"> the </w:t>
      </w:r>
      <w:r w:rsidRPr="00C653FC">
        <w:rPr>
          <w:rFonts w:ascii="Arial" w:hAnsi="Arial" w:cs="Arial"/>
          <w:bCs/>
          <w:i/>
          <w:spacing w:val="-3"/>
          <w:sz w:val="22"/>
          <w:szCs w:val="22"/>
        </w:rPr>
        <w:t>Southern Moreton Bay Islands Development Entitlements Protection Act 2004</w:t>
      </w:r>
      <w:r w:rsidR="00ED0638">
        <w:rPr>
          <w:rFonts w:ascii="Arial" w:hAnsi="Arial" w:cs="Arial"/>
          <w:bCs/>
          <w:spacing w:val="-3"/>
          <w:sz w:val="22"/>
          <w:szCs w:val="22"/>
        </w:rPr>
        <w:t>; and</w:t>
      </w:r>
    </w:p>
    <w:p w14:paraId="3BF653DC" w14:textId="77777777" w:rsidR="00C0353E" w:rsidRPr="00195B56" w:rsidRDefault="00EC751B" w:rsidP="00195B56">
      <w:pPr>
        <w:widowControl w:val="0"/>
        <w:numPr>
          <w:ilvl w:val="0"/>
          <w:numId w:val="7"/>
        </w:numPr>
        <w:tabs>
          <w:tab w:val="clear" w:pos="730"/>
        </w:tabs>
        <w:spacing w:before="120"/>
        <w:ind w:left="714" w:hanging="357"/>
        <w:jc w:val="both"/>
        <w:rPr>
          <w:rFonts w:ascii="Arial" w:hAnsi="Arial" w:cs="Arial"/>
          <w:bCs/>
          <w:spacing w:val="-3"/>
          <w:sz w:val="22"/>
          <w:szCs w:val="22"/>
        </w:rPr>
      </w:pPr>
      <w:r w:rsidRPr="00195B56">
        <w:rPr>
          <w:rFonts w:ascii="Arial" w:hAnsi="Arial" w:cs="Arial"/>
          <w:bCs/>
          <w:i/>
          <w:spacing w:val="-3"/>
          <w:sz w:val="22"/>
          <w:szCs w:val="22"/>
        </w:rPr>
        <w:t>Queensland Reconstruction Authority Act 2011</w:t>
      </w:r>
      <w:r w:rsidRPr="00195B56">
        <w:rPr>
          <w:rFonts w:ascii="Arial" w:hAnsi="Arial" w:cs="Arial"/>
          <w:bCs/>
          <w:spacing w:val="-3"/>
          <w:sz w:val="22"/>
          <w:szCs w:val="22"/>
        </w:rPr>
        <w:t xml:space="preserve"> </w:t>
      </w:r>
      <w:r w:rsidR="00427324" w:rsidRPr="00195B56">
        <w:rPr>
          <w:rFonts w:ascii="Arial" w:hAnsi="Arial" w:cs="Arial"/>
          <w:bCs/>
          <w:spacing w:val="-3"/>
          <w:sz w:val="22"/>
          <w:szCs w:val="22"/>
        </w:rPr>
        <w:t>to</w:t>
      </w:r>
      <w:r w:rsidR="00B830A5" w:rsidRPr="00195B56">
        <w:rPr>
          <w:rFonts w:ascii="Arial" w:hAnsi="Arial" w:cs="Arial"/>
          <w:bCs/>
          <w:spacing w:val="-3"/>
          <w:sz w:val="22"/>
          <w:szCs w:val="22"/>
        </w:rPr>
        <w:t xml:space="preserve"> ensure </w:t>
      </w:r>
      <w:r w:rsidR="00427324" w:rsidRPr="00195B56">
        <w:rPr>
          <w:rFonts w:ascii="Arial" w:hAnsi="Arial" w:cs="Arial"/>
          <w:bCs/>
          <w:spacing w:val="-3"/>
          <w:sz w:val="22"/>
          <w:szCs w:val="22"/>
        </w:rPr>
        <w:t xml:space="preserve">the Queensland Reconstruction Authority </w:t>
      </w:r>
      <w:r w:rsidR="00B830A5" w:rsidRPr="00195B56">
        <w:rPr>
          <w:rFonts w:ascii="Arial" w:hAnsi="Arial" w:cs="Arial"/>
          <w:bCs/>
          <w:spacing w:val="-3"/>
          <w:sz w:val="22"/>
          <w:szCs w:val="22"/>
        </w:rPr>
        <w:t>can undertake resilience, mitigation and betterment activities outside of post-disaster events.</w:t>
      </w:r>
    </w:p>
    <w:p w14:paraId="73FC0499" w14:textId="77777777" w:rsidR="003357DD" w:rsidRDefault="003357DD" w:rsidP="003C785D">
      <w:pPr>
        <w:widowControl w:val="0"/>
        <w:numPr>
          <w:ilvl w:val="0"/>
          <w:numId w:val="1"/>
        </w:numPr>
        <w:spacing w:before="240"/>
        <w:jc w:val="both"/>
        <w:rPr>
          <w:rFonts w:ascii="Arial" w:hAnsi="Arial" w:cs="Arial"/>
          <w:bCs/>
          <w:spacing w:val="-3"/>
          <w:sz w:val="22"/>
          <w:szCs w:val="22"/>
        </w:rPr>
      </w:pPr>
      <w:r w:rsidRPr="00AD04C6">
        <w:rPr>
          <w:rFonts w:ascii="Arial" w:hAnsi="Arial" w:cs="Arial"/>
          <w:bCs/>
          <w:spacing w:val="-3"/>
          <w:sz w:val="22"/>
          <w:szCs w:val="22"/>
          <w:u w:val="single"/>
        </w:rPr>
        <w:t>Cabinet approved</w:t>
      </w:r>
      <w:r w:rsidRPr="00AD04C6">
        <w:rPr>
          <w:rFonts w:ascii="Arial" w:hAnsi="Arial" w:cs="Arial"/>
          <w:bCs/>
          <w:spacing w:val="-3"/>
          <w:sz w:val="22"/>
          <w:szCs w:val="22"/>
        </w:rPr>
        <w:t xml:space="preserve"> the introduction of the</w:t>
      </w:r>
      <w:r w:rsidR="001849E3">
        <w:rPr>
          <w:rFonts w:ascii="Arial" w:hAnsi="Arial" w:cs="Arial"/>
          <w:bCs/>
          <w:spacing w:val="-3"/>
          <w:sz w:val="22"/>
          <w:szCs w:val="22"/>
        </w:rPr>
        <w:t xml:space="preserve"> </w:t>
      </w:r>
      <w:r w:rsidR="00E253CE">
        <w:rPr>
          <w:rFonts w:ascii="Arial" w:hAnsi="Arial" w:cs="Arial"/>
          <w:bCs/>
          <w:spacing w:val="-3"/>
          <w:sz w:val="22"/>
          <w:szCs w:val="22"/>
        </w:rPr>
        <w:t>Economic Development and Other Legislation Amendment Bill 2018</w:t>
      </w:r>
      <w:r w:rsidR="00ED31FA" w:rsidRPr="00C83972">
        <w:rPr>
          <w:rFonts w:ascii="Arial" w:hAnsi="Arial" w:cs="Arial"/>
          <w:bCs/>
          <w:spacing w:val="-3"/>
          <w:sz w:val="22"/>
          <w:szCs w:val="22"/>
        </w:rPr>
        <w:t xml:space="preserve"> </w:t>
      </w:r>
      <w:r w:rsidR="00F07C8D">
        <w:rPr>
          <w:rFonts w:ascii="Arial" w:hAnsi="Arial" w:cs="Arial"/>
          <w:bCs/>
          <w:spacing w:val="-3"/>
          <w:sz w:val="22"/>
          <w:szCs w:val="22"/>
        </w:rPr>
        <w:t>into the Legislative A</w:t>
      </w:r>
      <w:r w:rsidRPr="00AD04C6">
        <w:rPr>
          <w:rFonts w:ascii="Arial" w:hAnsi="Arial" w:cs="Arial"/>
          <w:bCs/>
          <w:spacing w:val="-3"/>
          <w:sz w:val="22"/>
          <w:szCs w:val="22"/>
        </w:rPr>
        <w:t>ssembly.</w:t>
      </w:r>
    </w:p>
    <w:p w14:paraId="26494E15" w14:textId="77777777" w:rsidR="003357DD" w:rsidRPr="004E491F" w:rsidRDefault="003357DD" w:rsidP="00383437">
      <w:pPr>
        <w:widowControl w:val="0"/>
        <w:numPr>
          <w:ilvl w:val="0"/>
          <w:numId w:val="1"/>
        </w:numPr>
        <w:spacing w:before="360"/>
        <w:ind w:left="357" w:hanging="357"/>
        <w:jc w:val="both"/>
        <w:rPr>
          <w:rFonts w:ascii="Arial" w:hAnsi="Arial" w:cs="Arial"/>
          <w:sz w:val="22"/>
          <w:szCs w:val="22"/>
        </w:rPr>
      </w:pPr>
      <w:r w:rsidRPr="004E491F">
        <w:rPr>
          <w:rFonts w:ascii="Arial" w:hAnsi="Arial" w:cs="Arial"/>
          <w:i/>
          <w:sz w:val="22"/>
          <w:szCs w:val="22"/>
          <w:u w:val="single"/>
        </w:rPr>
        <w:t>Attachments</w:t>
      </w:r>
    </w:p>
    <w:p w14:paraId="65452FB4" w14:textId="0A0F3964" w:rsidR="00E253CE" w:rsidRPr="00E253CE" w:rsidRDefault="00E52E06" w:rsidP="007A1C8E">
      <w:pPr>
        <w:widowControl w:val="0"/>
        <w:numPr>
          <w:ilvl w:val="0"/>
          <w:numId w:val="2"/>
        </w:numPr>
        <w:spacing w:before="120"/>
        <w:ind w:left="811"/>
        <w:jc w:val="both"/>
      </w:pPr>
      <w:hyperlink r:id="rId8" w:history="1">
        <w:r w:rsidR="00E253CE" w:rsidRPr="00570807">
          <w:rPr>
            <w:rStyle w:val="Hyperlink"/>
            <w:rFonts w:ascii="Arial" w:hAnsi="Arial" w:cs="Arial"/>
            <w:bCs/>
            <w:spacing w:val="-3"/>
            <w:sz w:val="22"/>
            <w:szCs w:val="22"/>
          </w:rPr>
          <w:t>Economic Development and Other Legislation Amendment Bill 2018</w:t>
        </w:r>
      </w:hyperlink>
    </w:p>
    <w:p w14:paraId="2A43EF73" w14:textId="02603650" w:rsidR="00A75523" w:rsidRPr="003357DD" w:rsidRDefault="00E52E06" w:rsidP="007A1C8E">
      <w:pPr>
        <w:widowControl w:val="0"/>
        <w:numPr>
          <w:ilvl w:val="0"/>
          <w:numId w:val="2"/>
        </w:numPr>
        <w:spacing w:before="120"/>
        <w:ind w:left="811"/>
        <w:jc w:val="both"/>
      </w:pPr>
      <w:hyperlink r:id="rId9" w:history="1">
        <w:r w:rsidR="003357DD" w:rsidRPr="00570807">
          <w:rPr>
            <w:rStyle w:val="Hyperlink"/>
            <w:rFonts w:ascii="Arial" w:hAnsi="Arial" w:cs="Arial"/>
            <w:sz w:val="22"/>
            <w:szCs w:val="22"/>
          </w:rPr>
          <w:t>Explanatory Notes</w:t>
        </w:r>
      </w:hyperlink>
    </w:p>
    <w:sectPr w:rsidR="00A75523" w:rsidRPr="003357DD" w:rsidSect="00195B56">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E0D24" w14:textId="77777777" w:rsidR="00C02928" w:rsidRDefault="00C02928" w:rsidP="00D6589B">
      <w:r>
        <w:separator/>
      </w:r>
    </w:p>
  </w:endnote>
  <w:endnote w:type="continuationSeparator" w:id="0">
    <w:p w14:paraId="2C3BBFD9" w14:textId="77777777" w:rsidR="00C02928" w:rsidRDefault="00C02928"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302DF" w14:textId="77777777" w:rsidR="00C02928" w:rsidRDefault="00C02928" w:rsidP="00D6589B">
      <w:r>
        <w:separator/>
      </w:r>
    </w:p>
  </w:footnote>
  <w:footnote w:type="continuationSeparator" w:id="0">
    <w:p w14:paraId="1DFF286E" w14:textId="77777777" w:rsidR="00C02928" w:rsidRDefault="00C02928"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D05F7" w14:textId="77777777" w:rsidR="009057BD" w:rsidRPr="00937A4A" w:rsidRDefault="009057BD" w:rsidP="009057BD">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5BBA7DCA" w14:textId="77777777" w:rsidR="009057BD" w:rsidRPr="00937A4A" w:rsidRDefault="009057BD" w:rsidP="009057BD">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1C789CE8" w14:textId="77777777" w:rsidR="009057BD" w:rsidRPr="00937A4A" w:rsidRDefault="009057BD" w:rsidP="009057BD">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6D6684">
      <w:rPr>
        <w:rFonts w:ascii="Arial" w:hAnsi="Arial" w:cs="Arial"/>
        <w:b/>
        <w:color w:val="auto"/>
        <w:sz w:val="22"/>
        <w:szCs w:val="22"/>
        <w:lang w:eastAsia="en-US"/>
      </w:rPr>
      <w:t xml:space="preserve">September </w:t>
    </w:r>
    <w:r>
      <w:rPr>
        <w:rFonts w:ascii="Arial" w:hAnsi="Arial" w:cs="Arial"/>
        <w:b/>
        <w:color w:val="auto"/>
        <w:sz w:val="22"/>
        <w:szCs w:val="22"/>
        <w:lang w:eastAsia="en-US"/>
      </w:rPr>
      <w:t>2018</w:t>
    </w:r>
  </w:p>
  <w:p w14:paraId="5A2820AF" w14:textId="77777777" w:rsidR="00A75523" w:rsidRDefault="00E253CE" w:rsidP="00D6589B">
    <w:pPr>
      <w:pStyle w:val="Header"/>
      <w:spacing w:before="120"/>
      <w:rPr>
        <w:rFonts w:ascii="Arial" w:hAnsi="Arial" w:cs="Arial"/>
        <w:b/>
        <w:sz w:val="22"/>
        <w:szCs w:val="22"/>
        <w:u w:val="single"/>
      </w:rPr>
    </w:pPr>
    <w:r>
      <w:rPr>
        <w:rFonts w:ascii="Arial" w:hAnsi="Arial" w:cs="Arial"/>
        <w:b/>
        <w:sz w:val="22"/>
        <w:szCs w:val="22"/>
        <w:u w:val="single"/>
      </w:rPr>
      <w:t>Economic Development and Other Legislation Amendment Bill 2018</w:t>
    </w:r>
  </w:p>
  <w:p w14:paraId="507AC073" w14:textId="77777777" w:rsidR="004A79BA" w:rsidRDefault="00AD04C6" w:rsidP="00D6589B">
    <w:pPr>
      <w:pStyle w:val="Header"/>
      <w:spacing w:before="120"/>
      <w:rPr>
        <w:rFonts w:ascii="Arial" w:hAnsi="Arial" w:cs="Arial"/>
        <w:b/>
        <w:sz w:val="22"/>
        <w:szCs w:val="22"/>
        <w:u w:val="single"/>
      </w:rPr>
    </w:pPr>
    <w:r>
      <w:rPr>
        <w:rFonts w:ascii="Arial" w:hAnsi="Arial" w:cs="Arial"/>
        <w:b/>
        <w:sz w:val="22"/>
        <w:szCs w:val="22"/>
        <w:u w:val="single"/>
      </w:rPr>
      <w:t>Minister for State Development</w:t>
    </w:r>
    <w:r w:rsidR="00E253CE">
      <w:rPr>
        <w:rFonts w:ascii="Arial" w:hAnsi="Arial" w:cs="Arial"/>
        <w:b/>
        <w:sz w:val="22"/>
        <w:szCs w:val="22"/>
        <w:u w:val="single"/>
      </w:rPr>
      <w:t>, Manufacturing, Infrastructure and Planning</w:t>
    </w:r>
  </w:p>
  <w:p w14:paraId="1035E4AE" w14:textId="77777777" w:rsidR="00A75523" w:rsidRDefault="00A75523"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347FA"/>
    <w:multiLevelType w:val="hybridMultilevel"/>
    <w:tmpl w:val="2C1C87C0"/>
    <w:lvl w:ilvl="0" w:tplc="0C090001">
      <w:start w:val="1"/>
      <w:numFmt w:val="bullet"/>
      <w:lvlText w:val=""/>
      <w:lvlJc w:val="left"/>
      <w:pPr>
        <w:tabs>
          <w:tab w:val="num" w:pos="730"/>
        </w:tabs>
        <w:ind w:left="730" w:hanging="360"/>
      </w:pPr>
      <w:rPr>
        <w:rFonts w:ascii="Symbol" w:hAnsi="Symbol" w:hint="default"/>
      </w:rPr>
    </w:lvl>
    <w:lvl w:ilvl="1" w:tplc="8F02EAEE">
      <w:start w:val="1"/>
      <w:numFmt w:val="decimal"/>
      <w:lvlText w:val="%2."/>
      <w:lvlJc w:val="left"/>
      <w:pPr>
        <w:tabs>
          <w:tab w:val="num" w:pos="1453"/>
        </w:tabs>
        <w:ind w:left="1453" w:hanging="363"/>
      </w:pPr>
      <w:rPr>
        <w:rFonts w:cs="Times New Roman" w:hint="default"/>
      </w:rPr>
    </w:lvl>
    <w:lvl w:ilvl="2" w:tplc="0C09001B" w:tentative="1">
      <w:start w:val="1"/>
      <w:numFmt w:val="lowerRoman"/>
      <w:lvlText w:val="%3."/>
      <w:lvlJc w:val="right"/>
      <w:pPr>
        <w:tabs>
          <w:tab w:val="num" w:pos="2170"/>
        </w:tabs>
        <w:ind w:left="2170" w:hanging="180"/>
      </w:pPr>
      <w:rPr>
        <w:rFonts w:cs="Times New Roman"/>
      </w:rPr>
    </w:lvl>
    <w:lvl w:ilvl="3" w:tplc="0C09000F" w:tentative="1">
      <w:start w:val="1"/>
      <w:numFmt w:val="decimal"/>
      <w:lvlText w:val="%4."/>
      <w:lvlJc w:val="left"/>
      <w:pPr>
        <w:tabs>
          <w:tab w:val="num" w:pos="2890"/>
        </w:tabs>
        <w:ind w:left="2890" w:hanging="360"/>
      </w:pPr>
      <w:rPr>
        <w:rFonts w:cs="Times New Roman"/>
      </w:rPr>
    </w:lvl>
    <w:lvl w:ilvl="4" w:tplc="0C090019" w:tentative="1">
      <w:start w:val="1"/>
      <w:numFmt w:val="lowerLetter"/>
      <w:lvlText w:val="%5."/>
      <w:lvlJc w:val="left"/>
      <w:pPr>
        <w:tabs>
          <w:tab w:val="num" w:pos="3610"/>
        </w:tabs>
        <w:ind w:left="3610" w:hanging="360"/>
      </w:pPr>
      <w:rPr>
        <w:rFonts w:cs="Times New Roman"/>
      </w:rPr>
    </w:lvl>
    <w:lvl w:ilvl="5" w:tplc="0C09001B" w:tentative="1">
      <w:start w:val="1"/>
      <w:numFmt w:val="lowerRoman"/>
      <w:lvlText w:val="%6."/>
      <w:lvlJc w:val="right"/>
      <w:pPr>
        <w:tabs>
          <w:tab w:val="num" w:pos="4330"/>
        </w:tabs>
        <w:ind w:left="4330" w:hanging="180"/>
      </w:pPr>
      <w:rPr>
        <w:rFonts w:cs="Times New Roman"/>
      </w:rPr>
    </w:lvl>
    <w:lvl w:ilvl="6" w:tplc="0C09000F" w:tentative="1">
      <w:start w:val="1"/>
      <w:numFmt w:val="decimal"/>
      <w:lvlText w:val="%7."/>
      <w:lvlJc w:val="left"/>
      <w:pPr>
        <w:tabs>
          <w:tab w:val="num" w:pos="5050"/>
        </w:tabs>
        <w:ind w:left="5050" w:hanging="360"/>
      </w:pPr>
      <w:rPr>
        <w:rFonts w:cs="Times New Roman"/>
      </w:rPr>
    </w:lvl>
    <w:lvl w:ilvl="7" w:tplc="0C090019" w:tentative="1">
      <w:start w:val="1"/>
      <w:numFmt w:val="lowerLetter"/>
      <w:lvlText w:val="%8."/>
      <w:lvlJc w:val="left"/>
      <w:pPr>
        <w:tabs>
          <w:tab w:val="num" w:pos="5770"/>
        </w:tabs>
        <w:ind w:left="5770" w:hanging="360"/>
      </w:pPr>
      <w:rPr>
        <w:rFonts w:cs="Times New Roman"/>
      </w:rPr>
    </w:lvl>
    <w:lvl w:ilvl="8" w:tplc="0C09001B" w:tentative="1">
      <w:start w:val="1"/>
      <w:numFmt w:val="lowerRoman"/>
      <w:lvlText w:val="%9."/>
      <w:lvlJc w:val="right"/>
      <w:pPr>
        <w:tabs>
          <w:tab w:val="num" w:pos="6490"/>
        </w:tabs>
        <w:ind w:left="6490" w:hanging="180"/>
      </w:pPr>
      <w:rPr>
        <w:rFonts w:cs="Times New Roman"/>
      </w:rPr>
    </w:lvl>
  </w:abstractNum>
  <w:abstractNum w:abstractNumId="1" w15:restartNumberingAfterBreak="0">
    <w:nsid w:val="544C1C13"/>
    <w:multiLevelType w:val="hybridMultilevel"/>
    <w:tmpl w:val="7848F99C"/>
    <w:lvl w:ilvl="0" w:tplc="36326362">
      <w:start w:val="1"/>
      <w:numFmt w:val="bullet"/>
      <w:lvlText w:val=""/>
      <w:lvlJc w:val="left"/>
      <w:pPr>
        <w:tabs>
          <w:tab w:val="num" w:pos="284"/>
        </w:tabs>
        <w:ind w:left="284" w:hanging="284"/>
      </w:pPr>
      <w:rPr>
        <w:rFonts w:ascii="Wingdings" w:hAnsi="Wingdings"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 w15:restartNumberingAfterBreak="0">
    <w:nsid w:val="58905BAD"/>
    <w:multiLevelType w:val="hybridMultilevel"/>
    <w:tmpl w:val="952E6C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BC44EA5"/>
    <w:multiLevelType w:val="hybridMultilevel"/>
    <w:tmpl w:val="43904E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7F176F87"/>
    <w:multiLevelType w:val="hybridMultilevel"/>
    <w:tmpl w:val="2396ACA6"/>
    <w:lvl w:ilvl="0" w:tplc="0C09000F">
      <w:start w:val="1"/>
      <w:numFmt w:val="decimal"/>
      <w:lvlText w:val="%1."/>
      <w:lvlJc w:val="left"/>
      <w:pPr>
        <w:tabs>
          <w:tab w:val="num" w:pos="360"/>
        </w:tabs>
        <w:ind w:left="360" w:hanging="360"/>
      </w:pPr>
      <w:rPr>
        <w:rFonts w:cs="Times New Roman"/>
      </w:rPr>
    </w:lvl>
    <w:lvl w:ilvl="1" w:tplc="8F02EAEE">
      <w:start w:val="1"/>
      <w:numFmt w:val="decimal"/>
      <w:lvlText w:val="%2."/>
      <w:lvlJc w:val="left"/>
      <w:pPr>
        <w:tabs>
          <w:tab w:val="num" w:pos="1083"/>
        </w:tabs>
        <w:ind w:left="1083" w:hanging="363"/>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89B"/>
    <w:rsid w:val="00002132"/>
    <w:rsid w:val="000105FC"/>
    <w:rsid w:val="000430DD"/>
    <w:rsid w:val="000432D8"/>
    <w:rsid w:val="0005653D"/>
    <w:rsid w:val="00060712"/>
    <w:rsid w:val="00080F8F"/>
    <w:rsid w:val="00091133"/>
    <w:rsid w:val="00096E3F"/>
    <w:rsid w:val="000B0A86"/>
    <w:rsid w:val="000D0E3B"/>
    <w:rsid w:val="000E2EF0"/>
    <w:rsid w:val="00111C39"/>
    <w:rsid w:val="00140936"/>
    <w:rsid w:val="00163D48"/>
    <w:rsid w:val="00174117"/>
    <w:rsid w:val="0018219A"/>
    <w:rsid w:val="001849E3"/>
    <w:rsid w:val="00186F24"/>
    <w:rsid w:val="001870AD"/>
    <w:rsid w:val="00195B56"/>
    <w:rsid w:val="001A33E2"/>
    <w:rsid w:val="001E209B"/>
    <w:rsid w:val="001E43D0"/>
    <w:rsid w:val="001E4ED9"/>
    <w:rsid w:val="00207BE0"/>
    <w:rsid w:val="0021344B"/>
    <w:rsid w:val="00225906"/>
    <w:rsid w:val="00225EA0"/>
    <w:rsid w:val="00271523"/>
    <w:rsid w:val="00283C02"/>
    <w:rsid w:val="00296F30"/>
    <w:rsid w:val="002D091E"/>
    <w:rsid w:val="002E1141"/>
    <w:rsid w:val="00313C05"/>
    <w:rsid w:val="00333343"/>
    <w:rsid w:val="003357DD"/>
    <w:rsid w:val="003358EC"/>
    <w:rsid w:val="00344AB0"/>
    <w:rsid w:val="0036441D"/>
    <w:rsid w:val="00366689"/>
    <w:rsid w:val="00383437"/>
    <w:rsid w:val="003B5871"/>
    <w:rsid w:val="003C66BF"/>
    <w:rsid w:val="003C785D"/>
    <w:rsid w:val="00402AF3"/>
    <w:rsid w:val="004207B4"/>
    <w:rsid w:val="00427324"/>
    <w:rsid w:val="00452CB8"/>
    <w:rsid w:val="0048125C"/>
    <w:rsid w:val="004A79BA"/>
    <w:rsid w:val="004B22D1"/>
    <w:rsid w:val="004B4053"/>
    <w:rsid w:val="004D29AD"/>
    <w:rsid w:val="004E313A"/>
    <w:rsid w:val="004E3AE1"/>
    <w:rsid w:val="004E7BF4"/>
    <w:rsid w:val="004F4D00"/>
    <w:rsid w:val="00501C66"/>
    <w:rsid w:val="0051303D"/>
    <w:rsid w:val="0051685E"/>
    <w:rsid w:val="005174C0"/>
    <w:rsid w:val="005337DD"/>
    <w:rsid w:val="00550873"/>
    <w:rsid w:val="005548B4"/>
    <w:rsid w:val="00555FFD"/>
    <w:rsid w:val="00570807"/>
    <w:rsid w:val="00587815"/>
    <w:rsid w:val="005C30A6"/>
    <w:rsid w:val="005C3D61"/>
    <w:rsid w:val="005F3E69"/>
    <w:rsid w:val="006109FE"/>
    <w:rsid w:val="00622A25"/>
    <w:rsid w:val="0065561A"/>
    <w:rsid w:val="00687618"/>
    <w:rsid w:val="006D58E1"/>
    <w:rsid w:val="006D6684"/>
    <w:rsid w:val="006F4E94"/>
    <w:rsid w:val="007073F9"/>
    <w:rsid w:val="00732E22"/>
    <w:rsid w:val="0074051D"/>
    <w:rsid w:val="00797D51"/>
    <w:rsid w:val="007A034E"/>
    <w:rsid w:val="007A1C8E"/>
    <w:rsid w:val="007A53F8"/>
    <w:rsid w:val="007B70F7"/>
    <w:rsid w:val="007C59E8"/>
    <w:rsid w:val="007E0016"/>
    <w:rsid w:val="007E5AC5"/>
    <w:rsid w:val="007F315F"/>
    <w:rsid w:val="007F4E36"/>
    <w:rsid w:val="008053C1"/>
    <w:rsid w:val="0083624F"/>
    <w:rsid w:val="00857CC6"/>
    <w:rsid w:val="00894C16"/>
    <w:rsid w:val="008A4523"/>
    <w:rsid w:val="008B7D0F"/>
    <w:rsid w:val="008E2688"/>
    <w:rsid w:val="008F44CD"/>
    <w:rsid w:val="009057BD"/>
    <w:rsid w:val="009164D3"/>
    <w:rsid w:val="0092070B"/>
    <w:rsid w:val="00925A75"/>
    <w:rsid w:val="00966873"/>
    <w:rsid w:val="009A4203"/>
    <w:rsid w:val="009E45AF"/>
    <w:rsid w:val="00A36880"/>
    <w:rsid w:val="00A37388"/>
    <w:rsid w:val="00A527A5"/>
    <w:rsid w:val="00A65115"/>
    <w:rsid w:val="00A732FB"/>
    <w:rsid w:val="00A75523"/>
    <w:rsid w:val="00A91D37"/>
    <w:rsid w:val="00AB4026"/>
    <w:rsid w:val="00AD04C6"/>
    <w:rsid w:val="00B3470F"/>
    <w:rsid w:val="00B40E56"/>
    <w:rsid w:val="00B67631"/>
    <w:rsid w:val="00B830A5"/>
    <w:rsid w:val="00B84B1C"/>
    <w:rsid w:val="00BB3BD2"/>
    <w:rsid w:val="00BD34FF"/>
    <w:rsid w:val="00BE193D"/>
    <w:rsid w:val="00C0214B"/>
    <w:rsid w:val="00C02928"/>
    <w:rsid w:val="00C0353E"/>
    <w:rsid w:val="00C07656"/>
    <w:rsid w:val="00C1436A"/>
    <w:rsid w:val="00C324DB"/>
    <w:rsid w:val="00C4370F"/>
    <w:rsid w:val="00C612F5"/>
    <w:rsid w:val="00C653FC"/>
    <w:rsid w:val="00C7364C"/>
    <w:rsid w:val="00C75E67"/>
    <w:rsid w:val="00C83972"/>
    <w:rsid w:val="00C84F59"/>
    <w:rsid w:val="00C926FF"/>
    <w:rsid w:val="00C95A82"/>
    <w:rsid w:val="00C95D8B"/>
    <w:rsid w:val="00CA2ABD"/>
    <w:rsid w:val="00CB1501"/>
    <w:rsid w:val="00CB7974"/>
    <w:rsid w:val="00CC4138"/>
    <w:rsid w:val="00CD231C"/>
    <w:rsid w:val="00CE6FBA"/>
    <w:rsid w:val="00CF0D8A"/>
    <w:rsid w:val="00CF11C5"/>
    <w:rsid w:val="00CF1AED"/>
    <w:rsid w:val="00D4043D"/>
    <w:rsid w:val="00D464A7"/>
    <w:rsid w:val="00D62F9C"/>
    <w:rsid w:val="00D6589B"/>
    <w:rsid w:val="00D67135"/>
    <w:rsid w:val="00D75134"/>
    <w:rsid w:val="00DB33CA"/>
    <w:rsid w:val="00DB6FE7"/>
    <w:rsid w:val="00DC1644"/>
    <w:rsid w:val="00DC5BE6"/>
    <w:rsid w:val="00DE1B4C"/>
    <w:rsid w:val="00DE480D"/>
    <w:rsid w:val="00DE61EC"/>
    <w:rsid w:val="00E162B6"/>
    <w:rsid w:val="00E253CE"/>
    <w:rsid w:val="00E449C6"/>
    <w:rsid w:val="00E46755"/>
    <w:rsid w:val="00E52E06"/>
    <w:rsid w:val="00E615E8"/>
    <w:rsid w:val="00E81FC9"/>
    <w:rsid w:val="00E87C16"/>
    <w:rsid w:val="00EC751B"/>
    <w:rsid w:val="00ED0638"/>
    <w:rsid w:val="00ED31FA"/>
    <w:rsid w:val="00EE10E0"/>
    <w:rsid w:val="00EF6902"/>
    <w:rsid w:val="00F07C8D"/>
    <w:rsid w:val="00F10DF9"/>
    <w:rsid w:val="00F478BD"/>
    <w:rsid w:val="00F53AE3"/>
    <w:rsid w:val="00F7004D"/>
    <w:rsid w:val="00F93E5E"/>
    <w:rsid w:val="00FA5800"/>
    <w:rsid w:val="00FB21F0"/>
    <w:rsid w:val="00FD4529"/>
    <w:rsid w:val="00FD74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491F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character" w:styleId="CommentReference">
    <w:name w:val="annotation reference"/>
    <w:rsid w:val="00344AB0"/>
    <w:rPr>
      <w:sz w:val="16"/>
      <w:szCs w:val="16"/>
    </w:rPr>
  </w:style>
  <w:style w:type="paragraph" w:styleId="CommentText">
    <w:name w:val="annotation text"/>
    <w:basedOn w:val="Normal"/>
    <w:link w:val="CommentTextChar"/>
    <w:rsid w:val="00344AB0"/>
    <w:rPr>
      <w:sz w:val="20"/>
    </w:rPr>
  </w:style>
  <w:style w:type="character" w:customStyle="1" w:styleId="CommentTextChar">
    <w:name w:val="Comment Text Char"/>
    <w:link w:val="CommentText"/>
    <w:rsid w:val="00344AB0"/>
    <w:rPr>
      <w:rFonts w:ascii="Times New Roman" w:hAnsi="Times New Roman"/>
      <w:color w:val="000000"/>
    </w:rPr>
  </w:style>
  <w:style w:type="paragraph" w:styleId="CommentSubject">
    <w:name w:val="annotation subject"/>
    <w:basedOn w:val="CommentText"/>
    <w:next w:val="CommentText"/>
    <w:link w:val="CommentSubjectChar"/>
    <w:rsid w:val="00344AB0"/>
    <w:rPr>
      <w:b/>
      <w:bCs/>
    </w:rPr>
  </w:style>
  <w:style w:type="character" w:customStyle="1" w:styleId="CommentSubjectChar">
    <w:name w:val="Comment Subject Char"/>
    <w:link w:val="CommentSubject"/>
    <w:rsid w:val="00344AB0"/>
    <w:rPr>
      <w:rFonts w:ascii="Times New Roman" w:hAnsi="Times New Roman"/>
      <w:b/>
      <w:bCs/>
      <w:color w:val="000000"/>
    </w:rPr>
  </w:style>
  <w:style w:type="paragraph" w:styleId="Revision">
    <w:name w:val="Revision"/>
    <w:hidden/>
    <w:uiPriority w:val="99"/>
    <w:semiHidden/>
    <w:rsid w:val="00FD4529"/>
    <w:rPr>
      <w:rFonts w:ascii="Times New Roman" w:hAnsi="Times New Roman"/>
      <w:color w:val="000000"/>
      <w:sz w:val="24"/>
    </w:rPr>
  </w:style>
  <w:style w:type="paragraph" w:styleId="ListParagraph">
    <w:name w:val="List Paragraph"/>
    <w:basedOn w:val="Normal"/>
    <w:uiPriority w:val="34"/>
    <w:qFormat/>
    <w:rsid w:val="008B7D0F"/>
    <w:pPr>
      <w:ind w:left="720"/>
    </w:pPr>
  </w:style>
  <w:style w:type="character" w:styleId="Hyperlink">
    <w:name w:val="Hyperlink"/>
    <w:basedOn w:val="DefaultParagraphFont"/>
    <w:rsid w:val="00570807"/>
    <w:rPr>
      <w:color w:val="0563C1" w:themeColor="hyperlink"/>
      <w:u w:val="single"/>
    </w:rPr>
  </w:style>
  <w:style w:type="character" w:styleId="UnresolvedMention">
    <w:name w:val="Unresolved Mention"/>
    <w:basedOn w:val="DefaultParagraphFont"/>
    <w:uiPriority w:val="99"/>
    <w:semiHidden/>
    <w:unhideWhenUsed/>
    <w:rsid w:val="00570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85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Bil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ttachments/ExNo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B5299-262D-4207-AF7D-97FE73234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281</Words>
  <Characters>1725</Characters>
  <Application>Microsoft Office Word</Application>
  <DocSecurity>0</DocSecurity>
  <Lines>27</Lines>
  <Paragraphs>10</Paragraphs>
  <ScaleCrop>false</ScaleCrop>
  <HeadingPairs>
    <vt:vector size="2" baseType="variant">
      <vt:variant>
        <vt:lpstr>Title</vt:lpstr>
      </vt:variant>
      <vt:variant>
        <vt:i4>1</vt:i4>
      </vt:variant>
    </vt:vector>
  </HeadingPairs>
  <TitlesOfParts>
    <vt:vector size="1" baseType="lpstr">
      <vt:lpstr>DSDIP proactive release summary template</vt:lpstr>
    </vt:vector>
  </TitlesOfParts>
  <Company/>
  <LinksUpToDate>false</LinksUpToDate>
  <CharactersWithSpaces>2008</CharactersWithSpaces>
  <SharedDoc>false</SharedDoc>
  <HyperlinkBase>https://www.cabinet.qld.gov.au/documents/2018/Sep/EDBill/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5</cp:revision>
  <cp:lastPrinted>2018-09-24T01:45:00Z</cp:lastPrinted>
  <dcterms:created xsi:type="dcterms:W3CDTF">2018-10-26T08:12:00Z</dcterms:created>
  <dcterms:modified xsi:type="dcterms:W3CDTF">2019-12-11T09:17:00Z</dcterms:modified>
  <cp:category>Legislation,Infrastructure,Economic_Development,Planning,Building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Topic">
    <vt:lpwstr>Cabinet templates</vt:lpwstr>
  </property>
  <property fmtid="{D5CDD505-2E9C-101B-9397-08002B2CF9AE}" pid="5" name="Category">
    <vt:lpwstr>Cabinet Legislation and Liaison (CLLO) templates</vt:lpwstr>
  </property>
  <property fmtid="{D5CDD505-2E9C-101B-9397-08002B2CF9AE}" pid="6" name="Area">
    <vt:lpwstr>DSDIP</vt:lpwstr>
  </property>
  <property fmtid="{D5CDD505-2E9C-101B-9397-08002B2CF9AE}" pid="7" name="Owners">
    <vt:lpwstr>1;#Cabinet and executive correspondence</vt:lpwstr>
  </property>
</Properties>
</file>